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1EE9B" w14:textId="77777777" w:rsidR="000F1CC6" w:rsidRDefault="000F1CC6"/>
    <w:p w14:paraId="644B87BF" w14:textId="77777777" w:rsidR="000F1CC6" w:rsidRDefault="00550E58">
      <w:pPr>
        <w:jc w:val="both"/>
      </w:pPr>
      <w:r>
        <w:t>Adopted: December 14, 2023</w:t>
      </w:r>
    </w:p>
    <w:p w14:paraId="40A3A99E" w14:textId="77777777" w:rsidR="000F1CC6" w:rsidRDefault="00550E58">
      <w:pPr>
        <w:jc w:val="both"/>
      </w:pPr>
      <w:r>
        <w:t xml:space="preserve">Annapolis, Maryland </w:t>
      </w:r>
    </w:p>
    <w:p w14:paraId="61AED635" w14:textId="77777777" w:rsidR="000F1CC6" w:rsidRDefault="000F1CC6">
      <w:pPr>
        <w:jc w:val="both"/>
      </w:pPr>
    </w:p>
    <w:p w14:paraId="0B5C97DB" w14:textId="77777777" w:rsidR="000F1CC6" w:rsidRDefault="00550E58">
      <w:pPr>
        <w:jc w:val="both"/>
      </w:pPr>
      <w:r>
        <w:t xml:space="preserve">The State Board of Elections issues this policy regarding multiple methods of mail-in ballot delivery under its authority to supervise the conduct of elections and direct the conduct of the local boards of elections.   </w:t>
      </w:r>
    </w:p>
    <w:p w14:paraId="7A3A75E9" w14:textId="77777777" w:rsidR="000F1CC6" w:rsidRDefault="000F1CC6">
      <w:pPr>
        <w:jc w:val="both"/>
      </w:pPr>
    </w:p>
    <w:p w14:paraId="2FCA652E" w14:textId="77777777" w:rsidR="000F1CC6" w:rsidRDefault="00550E58">
      <w:pPr>
        <w:jc w:val="both"/>
      </w:pPr>
      <w:r>
        <w:t xml:space="preserve">On June 1, 2021, House Bill 1048 of the 2021 Maryland General Assembly Legislative session went into effect. Pursuant to section 2(a) of the legislation, at least 60 days before the statewide primary election in 2022 and 2024, each local board of elections shall send the State Board approved mail-in voting ballot application to each eligible voter.  </w:t>
      </w:r>
    </w:p>
    <w:p w14:paraId="0298612B" w14:textId="77777777" w:rsidR="000F1CC6" w:rsidRDefault="000F1CC6">
      <w:pPr>
        <w:jc w:val="both"/>
      </w:pPr>
    </w:p>
    <w:p w14:paraId="2AD45EBA" w14:textId="77777777" w:rsidR="000F1CC6" w:rsidRDefault="00550E58">
      <w:pPr>
        <w:jc w:val="both"/>
      </w:pPr>
      <w:r>
        <w:t xml:space="preserve">When completing a request for a mail-in ballot on the approved application, the voter has three delivery options from which to select: mail, web delivery, or fax.   </w:t>
      </w:r>
    </w:p>
    <w:p w14:paraId="3042D094" w14:textId="77777777" w:rsidR="000F1CC6" w:rsidRDefault="000F1CC6">
      <w:pPr>
        <w:jc w:val="both"/>
      </w:pPr>
    </w:p>
    <w:p w14:paraId="0E48816E" w14:textId="77777777" w:rsidR="000F1CC6" w:rsidRDefault="00550E58">
      <w:pPr>
        <w:jc w:val="both"/>
      </w:pPr>
      <w:r>
        <w:t>If a voter chooses more than one method of delivery, one of which includes mail, the policy of the State Board for processing the request is to deem the request for a mail delivered ballot. Therefore, the State Board directs the local boards of elections to send the voter a ballot by U.S. Mail when that situation occurs. If a voter chooses more than one method of delivery, which does not include mail, the policy of the State Board for processing the request is to instruct the Local Board to contact the vote</w:t>
      </w:r>
      <w:r>
        <w:t xml:space="preserve">r. </w:t>
      </w:r>
    </w:p>
    <w:sectPr w:rsidR="000F1CC6">
      <w:headerReference w:type="default" r:id="rId6"/>
      <w:pgSz w:w="12240" w:h="15840"/>
      <w:pgMar w:top="36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609F2" w14:textId="77777777" w:rsidR="00550E58" w:rsidRDefault="00550E58">
      <w:pPr>
        <w:spacing w:line="240" w:lineRule="auto"/>
      </w:pPr>
      <w:r>
        <w:separator/>
      </w:r>
    </w:p>
  </w:endnote>
  <w:endnote w:type="continuationSeparator" w:id="0">
    <w:p w14:paraId="69E19819" w14:textId="77777777" w:rsidR="00550E58" w:rsidRDefault="00550E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1ABF5A7-0171-4800-8B1E-4845394CA216}"/>
    <w:embedBold r:id="rId2" w:fontKey="{A45AFEA5-F534-4AEA-B6FF-0906F09BE8F3}"/>
  </w:font>
  <w:font w:name="Calibri">
    <w:panose1 w:val="020F0502020204030204"/>
    <w:charset w:val="00"/>
    <w:family w:val="swiss"/>
    <w:pitch w:val="variable"/>
    <w:sig w:usb0="E4002EFF" w:usb1="C200247B" w:usb2="00000009" w:usb3="00000000" w:csb0="000001FF" w:csb1="00000000"/>
    <w:embedRegular r:id="rId3" w:fontKey="{8E71CD1C-0781-4F43-8FF7-F4FCE91FA6B5}"/>
  </w:font>
  <w:font w:name="Cambria">
    <w:panose1 w:val="02040503050406030204"/>
    <w:charset w:val="00"/>
    <w:family w:val="roman"/>
    <w:pitch w:val="variable"/>
    <w:sig w:usb0="E00006FF" w:usb1="420024FF" w:usb2="02000000" w:usb3="00000000" w:csb0="0000019F" w:csb1="00000000"/>
    <w:embedRegular r:id="rId4" w:fontKey="{AFF4D29C-5359-429D-838C-B290F0A01F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A8F3E" w14:textId="77777777" w:rsidR="00550E58" w:rsidRDefault="00550E58">
      <w:pPr>
        <w:spacing w:line="240" w:lineRule="auto"/>
      </w:pPr>
      <w:r>
        <w:separator/>
      </w:r>
    </w:p>
  </w:footnote>
  <w:footnote w:type="continuationSeparator" w:id="0">
    <w:p w14:paraId="5381BE40" w14:textId="77777777" w:rsidR="00550E58" w:rsidRDefault="00550E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AB0BF" w14:textId="77777777" w:rsidR="000F1CC6" w:rsidRDefault="00550E58">
    <w:pPr>
      <w:widowControl w:val="0"/>
      <w:spacing w:line="240" w:lineRule="auto"/>
      <w:ind w:right="15"/>
      <w:jc w:val="right"/>
      <w:rPr>
        <w:rFonts w:ascii="Arial Narrow" w:eastAsia="Arial Narrow" w:hAnsi="Arial Narrow" w:cs="Arial Narrow"/>
        <w:b/>
        <w:bCs/>
        <w:sz w:val="40"/>
        <w:szCs w:val="40"/>
      </w:rPr>
    </w:pPr>
    <w:r>
      <w:rPr>
        <w:rFonts w:ascii="Arial Narrow" w:eastAsia="Arial Narrow" w:hAnsi="Arial Narrow" w:cs="Arial Narrow"/>
        <w:b/>
        <w:bCs/>
        <w:noProof/>
        <w:sz w:val="40"/>
        <w:szCs w:val="40"/>
      </w:rPr>
      <w:drawing>
        <wp:anchor distT="114300" distB="114300" distL="114300" distR="114300" simplePos="0" relativeHeight="251658240" behindDoc="0" locked="0" layoutInCell="1" hidden="0" allowOverlap="1" wp14:anchorId="0B71D073" wp14:editId="0DFEE533">
          <wp:simplePos x="0" y="0"/>
          <wp:positionH relativeFrom="page">
            <wp:posOffset>3366829</wp:posOffset>
          </wp:positionH>
          <wp:positionV relativeFrom="page">
            <wp:posOffset>257175</wp:posOffset>
          </wp:positionV>
          <wp:extent cx="481745" cy="476250"/>
          <wp:effectExtent l="0" t="0" r="0" b="0"/>
          <wp:wrapNone/>
          <wp:docPr id="1" name="image1.jpg" descr="Maryland State Board of Elections Logo"/>
          <wp:cNvGraphicFramePr/>
          <a:graphic xmlns:a="http://schemas.openxmlformats.org/drawingml/2006/main">
            <a:graphicData uri="http://schemas.openxmlformats.org/drawingml/2006/picture">
              <pic:pic xmlns:pic="http://schemas.openxmlformats.org/drawingml/2006/picture">
                <pic:nvPicPr>
                  <pic:cNvPr id="1" name="image1.jpg" descr="Maryland State Board of Elections Logo"/>
                  <pic:cNvPicPr preferRelativeResize="0"/>
                </pic:nvPicPr>
                <pic:blipFill>
                  <a:blip r:embed="rId1"/>
                  <a:srcRect/>
                  <a:stretch>
                    <a:fillRect/>
                  </a:stretch>
                </pic:blipFill>
                <pic:spPr>
                  <a:xfrm>
                    <a:off x="0" y="0"/>
                    <a:ext cx="481745" cy="476250"/>
                  </a:xfrm>
                  <a:prstGeom prst="rect">
                    <a:avLst/>
                  </a:prstGeom>
                  <a:ln/>
                </pic:spPr>
              </pic:pic>
            </a:graphicData>
          </a:graphic>
        </wp:anchor>
      </w:drawing>
    </w:r>
    <w:r>
      <w:rPr>
        <w:rFonts w:ascii="Arial Narrow" w:eastAsia="Arial Narrow" w:hAnsi="Arial Narrow" w:cs="Arial Narrow"/>
        <w:b/>
        <w:bCs/>
        <w:sz w:val="40"/>
        <w:szCs w:val="40"/>
      </w:rPr>
      <w:t>Maryland State Board of Elections</w:t>
    </w:r>
  </w:p>
  <w:p w14:paraId="355B4795" w14:textId="77777777" w:rsidR="000F1CC6" w:rsidRDefault="00550E58">
    <w:pPr>
      <w:pStyle w:val="Heading2"/>
      <w:keepLines w:val="0"/>
      <w:tabs>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0"/>
      </w:tabs>
      <w:spacing w:before="0" w:after="0" w:line="240" w:lineRule="auto"/>
      <w:ind w:hanging="180"/>
      <w:jc w:val="right"/>
      <w:rPr>
        <w:i/>
        <w:iCs/>
      </w:rPr>
    </w:pPr>
    <w:bookmarkStart w:id="0" w:name="_h1gs2n7j77ec" w:colFirst="0" w:colLast="0"/>
    <w:bookmarkEnd w:id="0"/>
    <w:r>
      <w:rPr>
        <w:rFonts w:ascii="Arial Narrow" w:eastAsia="Arial Narrow" w:hAnsi="Arial Narrow" w:cs="Arial Narrow"/>
      </w:rPr>
      <w:t xml:space="preserve">SBE Policy 2023-01: MIB Processing for 2024 Election </w:t>
    </w:r>
  </w:p>
  <w:p w14:paraId="09D601D0" w14:textId="77777777" w:rsidR="000F1CC6" w:rsidRDefault="00550E58">
    <w:pPr>
      <w:spacing w:line="240" w:lineRule="auto"/>
      <w:jc w:val="both"/>
    </w:pPr>
    <w:r>
      <w:pict w14:anchorId="1945B353">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CC6"/>
    <w:rsid w:val="000A4790"/>
    <w:rsid w:val="000F1CC6"/>
    <w:rsid w:val="00274EFB"/>
    <w:rsid w:val="00550E58"/>
    <w:rsid w:val="00AC5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8FE40"/>
  <w15:docId w15:val="{0F874D39-4D6D-4B1D-98C4-B3E3BCB44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Cecelia M. Assam</dc:creator>
  <cp:lastModifiedBy>Cecelia M. Assam</cp:lastModifiedBy>
  <cp:revision>2</cp:revision>
  <dcterms:created xsi:type="dcterms:W3CDTF">2026-04-13T16:21:00Z</dcterms:created>
  <dcterms:modified xsi:type="dcterms:W3CDTF">2026-04-13T16:21:00Z</dcterms:modified>
</cp:coreProperties>
</file>